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4DB46">
      <w:pPr>
        <w:pStyle w:val="2"/>
        <w:spacing w:line="240" w:lineRule="exact"/>
        <w:jc w:val="center"/>
        <w:outlineLvl w:val="0"/>
        <w:rPr>
          <w:rFonts w:hint="eastAsia" w:ascii="方正小标宋简体" w:eastAsia="方正小标宋简体"/>
          <w:bCs/>
          <w:spacing w:val="-4"/>
          <w:sz w:val="36"/>
          <w:szCs w:val="36"/>
          <w:lang w:eastAsia="zh-CN"/>
        </w:rPr>
      </w:pPr>
    </w:p>
    <w:p w14:paraId="5FBE447F">
      <w:pPr>
        <w:pStyle w:val="2"/>
        <w:jc w:val="center"/>
        <w:outlineLvl w:val="0"/>
        <w:rPr>
          <w:rFonts w:hint="eastAsia" w:ascii="方正小标宋简体" w:eastAsia="方正小标宋简体"/>
          <w:bCs/>
          <w:spacing w:val="-4"/>
          <w:sz w:val="36"/>
          <w:szCs w:val="36"/>
          <w:lang w:eastAsia="zh-CN"/>
        </w:rPr>
      </w:pPr>
      <w:r>
        <w:rPr>
          <w:rFonts w:hint="eastAsia" w:ascii="方正小标宋简体" w:eastAsia="方正小标宋简体"/>
          <w:bCs/>
          <w:spacing w:val="-4"/>
          <w:sz w:val="36"/>
          <w:szCs w:val="36"/>
          <w:lang w:eastAsia="zh-CN"/>
        </w:rPr>
        <w:t>江苏国源稀土新材料有限公司现有项目验收后变动</w:t>
      </w:r>
    </w:p>
    <w:p w14:paraId="75E594A5">
      <w:pPr>
        <w:pStyle w:val="2"/>
        <w:jc w:val="center"/>
        <w:outlineLvl w:val="0"/>
        <w:rPr>
          <w:rFonts w:hint="eastAsia" w:ascii="方正小标宋简体" w:eastAsia="方正小标宋简体"/>
          <w:sz w:val="36"/>
          <w:szCs w:val="36"/>
          <w:lang w:eastAsia="zh-CN"/>
        </w:rPr>
      </w:pPr>
      <w:r>
        <w:rPr>
          <w:rFonts w:hint="eastAsia" w:ascii="方正小标宋简体" w:eastAsia="方正小标宋简体"/>
          <w:bCs/>
          <w:spacing w:val="-4"/>
          <w:sz w:val="36"/>
          <w:szCs w:val="36"/>
          <w:lang w:eastAsia="zh-CN"/>
        </w:rPr>
        <w:t>环境影响分析技术咨询意见</w:t>
      </w:r>
    </w:p>
    <w:p w14:paraId="572838F7">
      <w:pPr>
        <w:pStyle w:val="2"/>
        <w:spacing w:line="240" w:lineRule="exact"/>
        <w:ind w:firstLine="460" w:firstLineChars="200"/>
        <w:jc w:val="both"/>
        <w:rPr>
          <w:rFonts w:hint="eastAsia" w:ascii="Times New Roman" w:hAnsi="Times New Roman" w:cs="Times New Roman" w:eastAsiaTheme="minorEastAsia"/>
          <w:color w:val="auto"/>
          <w:spacing w:val="-5"/>
          <w:sz w:val="24"/>
          <w:szCs w:val="24"/>
          <w:lang w:eastAsia="zh-CN"/>
        </w:rPr>
      </w:pPr>
    </w:p>
    <w:p w14:paraId="5FE5A600">
      <w:pPr>
        <w:pStyle w:val="2"/>
        <w:spacing w:line="440" w:lineRule="exact"/>
        <w:ind w:firstLine="460" w:firstLineChars="200"/>
        <w:jc w:val="both"/>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pacing w:val="-5"/>
          <w:sz w:val="24"/>
          <w:szCs w:val="24"/>
          <w:lang w:eastAsia="zh-CN"/>
        </w:rPr>
        <w:t>2026年6月4日，江苏国源稀土新材</w:t>
      </w:r>
      <w:r>
        <w:rPr>
          <w:rFonts w:ascii="Times New Roman" w:hAnsi="Times New Roman" w:cs="Times New Roman" w:eastAsiaTheme="minorEastAsia"/>
          <w:color w:val="auto"/>
          <w:spacing w:val="-6"/>
          <w:sz w:val="24"/>
          <w:szCs w:val="24"/>
          <w:lang w:eastAsia="zh-CN"/>
        </w:rPr>
        <w:t>料有限公司组织召开了</w:t>
      </w:r>
      <w:r>
        <w:rPr>
          <w:rFonts w:ascii="Times New Roman" w:hAnsi="Times New Roman" w:cs="Times New Roman" w:eastAsiaTheme="minorEastAsia"/>
          <w:color w:val="auto"/>
          <w:spacing w:val="1"/>
          <w:sz w:val="24"/>
          <w:szCs w:val="24"/>
          <w:lang w:eastAsia="zh-CN"/>
        </w:rPr>
        <w:t>《江苏国源稀土新材料有限公司现有项目验收后变动环</w:t>
      </w:r>
      <w:r>
        <w:rPr>
          <w:rFonts w:ascii="Times New Roman" w:hAnsi="Times New Roman" w:cs="Times New Roman" w:eastAsiaTheme="minorEastAsia"/>
          <w:color w:val="auto"/>
          <w:sz w:val="24"/>
          <w:szCs w:val="24"/>
          <w:lang w:eastAsia="zh-CN"/>
        </w:rPr>
        <w:t xml:space="preserve">境影响分析》 </w:t>
      </w:r>
      <w:r>
        <w:rPr>
          <w:rFonts w:ascii="Times New Roman" w:hAnsi="Times New Roman" w:cs="Times New Roman" w:eastAsiaTheme="minorEastAsia"/>
          <w:color w:val="auto"/>
          <w:spacing w:val="-3"/>
          <w:sz w:val="24"/>
          <w:szCs w:val="24"/>
          <w:lang w:eastAsia="zh-CN"/>
        </w:rPr>
        <w:t>（以下简</w:t>
      </w:r>
      <w:r>
        <w:rPr>
          <w:rFonts w:cs="Times New Roman" w:asciiTheme="minorEastAsia" w:hAnsiTheme="minorEastAsia" w:eastAsiaTheme="minorEastAsia"/>
          <w:color w:val="auto"/>
          <w:spacing w:val="-3"/>
          <w:sz w:val="24"/>
          <w:szCs w:val="24"/>
          <w:lang w:eastAsia="zh-CN"/>
        </w:rPr>
        <w:t>称“变动影响分析”</w:t>
      </w:r>
      <w:r>
        <w:rPr>
          <w:rFonts w:ascii="Times New Roman" w:hAnsi="Times New Roman" w:cs="Times New Roman" w:eastAsiaTheme="minorEastAsia"/>
          <w:color w:val="auto"/>
          <w:spacing w:val="-3"/>
          <w:sz w:val="24"/>
          <w:szCs w:val="24"/>
          <w:lang w:eastAsia="zh-CN"/>
        </w:rPr>
        <w:t>）技术咨询会，参会人员有江苏国源稀土</w:t>
      </w:r>
      <w:r>
        <w:rPr>
          <w:rFonts w:ascii="Times New Roman" w:hAnsi="Times New Roman" w:cs="Times New Roman" w:eastAsiaTheme="minorEastAsia"/>
          <w:color w:val="auto"/>
          <w:spacing w:val="-4"/>
          <w:sz w:val="24"/>
          <w:szCs w:val="24"/>
          <w:lang w:eastAsia="zh-CN"/>
        </w:rPr>
        <w:t>新材料有限公司（建设单位）、江苏南京博晟环境科技有限公司（变动影响分析编制单位）代表，并邀请了</w:t>
      </w:r>
      <w:r>
        <w:rPr>
          <w:rFonts w:hint="eastAsia" w:ascii="Times New Roman" w:hAnsi="Times New Roman" w:cs="Times New Roman" w:eastAsiaTheme="minorEastAsia"/>
          <w:color w:val="auto"/>
          <w:spacing w:val="-4"/>
          <w:sz w:val="24"/>
          <w:szCs w:val="24"/>
          <w:lang w:eastAsia="zh-CN"/>
        </w:rPr>
        <w:t>两</w:t>
      </w:r>
      <w:r>
        <w:rPr>
          <w:rFonts w:ascii="Times New Roman" w:hAnsi="Times New Roman" w:cs="Times New Roman" w:eastAsiaTheme="minorEastAsia"/>
          <w:color w:val="auto"/>
          <w:spacing w:val="-4"/>
          <w:sz w:val="24"/>
          <w:szCs w:val="24"/>
          <w:lang w:eastAsia="zh-CN"/>
        </w:rPr>
        <w:t>位专家（名单附后）负责技术咨询。与会人员在听取了建设单位、编制单位负责人对</w:t>
      </w:r>
      <w:r>
        <w:rPr>
          <w:rFonts w:ascii="Times New Roman" w:hAnsi="Times New Roman" w:cs="Times New Roman" w:eastAsiaTheme="minorEastAsia"/>
          <w:color w:val="auto"/>
          <w:spacing w:val="1"/>
          <w:sz w:val="24"/>
          <w:szCs w:val="24"/>
          <w:lang w:eastAsia="zh-CN"/>
        </w:rPr>
        <w:t>现有项目验收后的变动情况和变动影响分析的汇报后，</w:t>
      </w:r>
      <w:r>
        <w:rPr>
          <w:rFonts w:ascii="Times New Roman" w:hAnsi="Times New Roman" w:cs="Times New Roman" w:eastAsiaTheme="minorEastAsia"/>
          <w:color w:val="auto"/>
          <w:sz w:val="24"/>
          <w:szCs w:val="24"/>
          <w:lang w:eastAsia="zh-CN"/>
        </w:rPr>
        <w:t>经认真讨论，</w:t>
      </w:r>
      <w:r>
        <w:rPr>
          <w:rFonts w:ascii="Times New Roman" w:hAnsi="Times New Roman" w:cs="Times New Roman" w:eastAsiaTheme="minorEastAsia"/>
          <w:color w:val="auto"/>
          <w:spacing w:val="-5"/>
          <w:sz w:val="24"/>
          <w:szCs w:val="24"/>
          <w:lang w:eastAsia="zh-CN"/>
        </w:rPr>
        <w:t>形成如下技术咨询意见：</w:t>
      </w:r>
    </w:p>
    <w:p w14:paraId="4E98A2A4">
      <w:pPr>
        <w:pStyle w:val="2"/>
        <w:spacing w:line="440" w:lineRule="exact"/>
        <w:ind w:firstLine="464" w:firstLineChars="200"/>
        <w:jc w:val="both"/>
        <w:rPr>
          <w:rFonts w:ascii="Times New Roman" w:hAnsi="Times New Roman" w:cs="Times New Roman" w:eastAsiaTheme="minorEastAsia"/>
          <w:color w:val="auto"/>
          <w:spacing w:val="-4"/>
          <w:sz w:val="24"/>
          <w:szCs w:val="24"/>
          <w:lang w:eastAsia="zh-CN"/>
        </w:rPr>
      </w:pPr>
      <w:r>
        <w:rPr>
          <w:rFonts w:ascii="Times New Roman" w:hAnsi="Times New Roman" w:cs="Times New Roman" w:eastAsiaTheme="minorEastAsia"/>
          <w:color w:val="auto"/>
          <w:spacing w:val="-4"/>
          <w:sz w:val="24"/>
          <w:szCs w:val="24"/>
          <w:lang w:eastAsia="zh-CN"/>
        </w:rPr>
        <w:t>一、</w:t>
      </w:r>
      <w:r>
        <w:rPr>
          <w:rFonts w:cs="Times New Roman" w:asciiTheme="minorEastAsia" w:hAnsiTheme="minorEastAsia" w:eastAsiaTheme="minorEastAsia"/>
          <w:color w:val="auto"/>
          <w:spacing w:val="-4"/>
          <w:sz w:val="24"/>
          <w:szCs w:val="24"/>
          <w:lang w:eastAsia="zh-CN"/>
        </w:rPr>
        <w:t>“变动影响分析”</w:t>
      </w:r>
      <w:r>
        <w:rPr>
          <w:rFonts w:hint="eastAsia" w:cs="Times New Roman" w:asciiTheme="minorEastAsia" w:hAnsiTheme="minorEastAsia" w:eastAsiaTheme="minorEastAsia"/>
          <w:color w:val="auto"/>
          <w:spacing w:val="-4"/>
          <w:sz w:val="24"/>
          <w:szCs w:val="24"/>
          <w:lang w:eastAsia="zh-CN"/>
        </w:rPr>
        <w:t>总体上</w:t>
      </w:r>
      <w:r>
        <w:rPr>
          <w:rFonts w:ascii="Times New Roman" w:hAnsi="Times New Roman" w:cs="Times New Roman" w:eastAsiaTheme="minorEastAsia"/>
          <w:color w:val="auto"/>
          <w:spacing w:val="-4"/>
          <w:sz w:val="24"/>
          <w:szCs w:val="24"/>
          <w:lang w:eastAsia="zh-CN"/>
        </w:rPr>
        <w:t>符合《省生态环境厅关于加强涉变动项目环评与排污许可管理衔接的通知》（苏环办</w:t>
      </w:r>
      <w:r>
        <w:rPr>
          <w:rFonts w:hint="eastAsia" w:ascii="Times New Roman" w:hAnsi="Times New Roman" w:cs="Times New Roman" w:eastAsiaTheme="minorEastAsia"/>
          <w:color w:val="auto"/>
          <w:spacing w:val="-4"/>
          <w:sz w:val="24"/>
          <w:szCs w:val="24"/>
          <w:lang w:eastAsia="zh-CN"/>
        </w:rPr>
        <w:t>〔2021〕</w:t>
      </w:r>
      <w:r>
        <w:rPr>
          <w:rFonts w:ascii="Times New Roman" w:hAnsi="Times New Roman" w:cs="Times New Roman" w:eastAsiaTheme="minorEastAsia"/>
          <w:color w:val="auto"/>
          <w:spacing w:val="-4"/>
          <w:sz w:val="24"/>
          <w:szCs w:val="24"/>
          <w:lang w:eastAsia="zh-CN"/>
        </w:rPr>
        <w:t xml:space="preserve"> 122  号）文件要求。对照《建设项目环境影响评价分类管理名录（2021  版）》，该公司现有项目主要变动内容</w:t>
      </w:r>
      <w:r>
        <w:rPr>
          <w:rFonts w:hint="eastAsia" w:ascii="Times New Roman" w:hAnsi="Times New Roman" w:cs="Times New Roman" w:eastAsiaTheme="minorEastAsia"/>
          <w:color w:val="auto"/>
          <w:spacing w:val="-4"/>
          <w:sz w:val="24"/>
          <w:szCs w:val="24"/>
          <w:lang w:eastAsia="zh-CN"/>
        </w:rPr>
        <w:t>（</w:t>
      </w:r>
      <w:r>
        <w:rPr>
          <w:rFonts w:hint="eastAsia"/>
          <w:color w:val="auto"/>
          <w:spacing w:val="-4"/>
          <w:sz w:val="24"/>
          <w:szCs w:val="24"/>
          <w:lang w:eastAsia="zh-CN"/>
        </w:rPr>
        <w:t>①</w:t>
      </w:r>
      <w:r>
        <w:rPr>
          <w:rFonts w:ascii="Times New Roman" w:hAnsi="Times New Roman" w:cs="Times New Roman" w:eastAsiaTheme="minorEastAsia"/>
          <w:color w:val="auto"/>
          <w:spacing w:val="-4"/>
          <w:sz w:val="24"/>
          <w:szCs w:val="24"/>
          <w:lang w:eastAsia="zh-CN"/>
        </w:rPr>
        <w:t>对平面布置进行调整，新增机修车间。</w:t>
      </w:r>
      <w:r>
        <w:rPr>
          <w:rFonts w:hint="eastAsia"/>
          <w:color w:val="auto"/>
          <w:spacing w:val="-4"/>
          <w:sz w:val="24"/>
          <w:szCs w:val="24"/>
          <w:lang w:eastAsia="zh-CN"/>
        </w:rPr>
        <w:t>②</w:t>
      </w:r>
      <w:r>
        <w:rPr>
          <w:rFonts w:ascii="Times New Roman" w:hAnsi="Times New Roman" w:cs="Times New Roman" w:eastAsiaTheme="minorEastAsia"/>
          <w:color w:val="auto"/>
          <w:spacing w:val="-4"/>
          <w:sz w:val="24"/>
          <w:szCs w:val="24"/>
          <w:lang w:eastAsia="zh-CN"/>
        </w:rPr>
        <w:t>项目目前酸溶工序为直接通入蒸汽加热，随着水汽的进入，料液持续被稀释，pH值发生变化，导致生产效果不理想，达不到原环评预计的溶解效果，为达到原环评预计的溶解效果，项目拟将料液先进行间接加热，再打入溶料罐，以此提高酸溶工序的生产效果，因此需增加4台反应釜用于间接加热、7台料液罐用于暂存料液，同时增加3台自来水罐、1座沉淀池方便生产。）无需纳入环评管理范围，可直接纳入排污许可证管理。该</w:t>
      </w:r>
      <w:r>
        <w:rPr>
          <w:rFonts w:cs="Times New Roman" w:asciiTheme="minorEastAsia" w:hAnsiTheme="minorEastAsia" w:eastAsiaTheme="minorEastAsia"/>
          <w:color w:val="auto"/>
          <w:spacing w:val="-4"/>
          <w:sz w:val="24"/>
          <w:szCs w:val="24"/>
          <w:lang w:eastAsia="zh-CN"/>
        </w:rPr>
        <w:t>“变动影响分析”</w:t>
      </w:r>
      <w:r>
        <w:rPr>
          <w:rFonts w:ascii="Times New Roman" w:hAnsi="Times New Roman" w:cs="Times New Roman" w:eastAsiaTheme="minorEastAsia"/>
          <w:color w:val="auto"/>
          <w:spacing w:val="-4"/>
          <w:sz w:val="24"/>
          <w:szCs w:val="24"/>
          <w:lang w:eastAsia="zh-CN"/>
        </w:rPr>
        <w:t>针对变动情况描述较清楚，经修改完善并符合环境管理要求后可作为企业重新申请排污许可证和后续环境管理的依据。</w:t>
      </w:r>
    </w:p>
    <w:p w14:paraId="57F82A73">
      <w:pPr>
        <w:pStyle w:val="2"/>
        <w:spacing w:line="440" w:lineRule="exact"/>
        <w:ind w:firstLine="464" w:firstLineChars="200"/>
        <w:jc w:val="both"/>
        <w:rPr>
          <w:rFonts w:ascii="Times New Roman" w:hAnsi="Times New Roman" w:cs="Times New Roman" w:eastAsiaTheme="minorEastAsia"/>
          <w:color w:val="auto"/>
          <w:spacing w:val="-4"/>
          <w:sz w:val="24"/>
          <w:szCs w:val="24"/>
          <w:lang w:eastAsia="zh-CN"/>
        </w:rPr>
      </w:pPr>
      <w:r>
        <w:rPr>
          <w:rFonts w:ascii="Times New Roman" w:hAnsi="Times New Roman" w:cs="Times New Roman" w:eastAsiaTheme="minorEastAsia"/>
          <w:color w:val="auto"/>
          <w:spacing w:val="-4"/>
          <w:sz w:val="24"/>
          <w:szCs w:val="24"/>
          <w:lang w:eastAsia="zh-CN"/>
        </w:rPr>
        <w:t>二、</w:t>
      </w:r>
      <w:r>
        <w:rPr>
          <w:rFonts w:cs="Times New Roman" w:asciiTheme="minorEastAsia" w:hAnsiTheme="minorEastAsia" w:eastAsiaTheme="minorEastAsia"/>
          <w:color w:val="auto"/>
          <w:spacing w:val="-4"/>
          <w:sz w:val="24"/>
          <w:szCs w:val="24"/>
          <w:lang w:eastAsia="zh-CN"/>
        </w:rPr>
        <w:t>“变动影响分析”</w:t>
      </w:r>
      <w:r>
        <w:rPr>
          <w:rFonts w:ascii="Times New Roman" w:hAnsi="Times New Roman" w:cs="Times New Roman" w:eastAsiaTheme="minorEastAsia"/>
          <w:color w:val="auto"/>
          <w:spacing w:val="-4"/>
          <w:sz w:val="24"/>
          <w:szCs w:val="24"/>
          <w:lang w:eastAsia="zh-CN"/>
        </w:rPr>
        <w:t>修改建议：</w:t>
      </w:r>
    </w:p>
    <w:p w14:paraId="66A8935F">
      <w:pPr>
        <w:pStyle w:val="2"/>
        <w:spacing w:line="440" w:lineRule="exact"/>
        <w:ind w:firstLine="428" w:firstLineChars="200"/>
        <w:jc w:val="both"/>
        <w:rPr>
          <w:rFonts w:ascii="Times New Roman" w:hAnsi="Times New Roman" w:cs="Times New Roman" w:eastAsiaTheme="minorEastAsia"/>
          <w:color w:val="auto"/>
          <w:spacing w:val="-13"/>
          <w:sz w:val="24"/>
          <w:szCs w:val="24"/>
          <w:lang w:eastAsia="zh-CN"/>
        </w:rPr>
      </w:pPr>
      <w:r>
        <w:rPr>
          <w:rFonts w:ascii="Times New Roman" w:hAnsi="Times New Roman" w:cs="Times New Roman" w:eastAsiaTheme="minorEastAsia"/>
          <w:color w:val="auto"/>
          <w:spacing w:val="-13"/>
          <w:sz w:val="24"/>
          <w:szCs w:val="24"/>
          <w:lang w:eastAsia="zh-CN"/>
        </w:rPr>
        <w:t>1、完善变动内容和原因，细化变动前后平面布置介绍。核实变动前后工艺控制条件、运行参数、生产设备及产能、盐酸用量的变化情况。</w:t>
      </w:r>
      <w:bookmarkStart w:id="0" w:name="_GoBack"/>
      <w:bookmarkEnd w:id="0"/>
    </w:p>
    <w:p w14:paraId="61A4473B">
      <w:pPr>
        <w:pStyle w:val="2"/>
        <w:spacing w:line="440" w:lineRule="exact"/>
        <w:ind w:firstLine="428" w:firstLineChars="200"/>
        <w:jc w:val="both"/>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pacing w:val="-13"/>
          <w:sz w:val="24"/>
          <w:szCs w:val="24"/>
          <w:lang w:eastAsia="zh-CN"/>
        </w:rPr>
        <w:t>2、</w:t>
      </w:r>
      <w:r>
        <w:rPr>
          <w:rFonts w:ascii="Times New Roman" w:hAnsi="Times New Roman" w:cs="Times New Roman" w:eastAsiaTheme="minorEastAsia"/>
          <w:color w:val="auto"/>
          <w:spacing w:val="30"/>
          <w:sz w:val="24"/>
          <w:szCs w:val="24"/>
          <w:lang w:eastAsia="zh-CN"/>
        </w:rPr>
        <w:t>后续应做好变动材料的信息公开工作，并按照苏环办</w:t>
      </w:r>
      <w:r>
        <w:rPr>
          <w:rFonts w:hint="eastAsia" w:ascii="Times New Roman" w:hAnsi="Times New Roman" w:cs="Times New Roman" w:eastAsiaTheme="minorEastAsia"/>
          <w:color w:val="auto"/>
          <w:spacing w:val="-2"/>
          <w:sz w:val="24"/>
          <w:szCs w:val="24"/>
          <w:lang w:eastAsia="zh-CN"/>
        </w:rPr>
        <w:t>〔</w:t>
      </w:r>
      <w:r>
        <w:rPr>
          <w:rFonts w:ascii="Times New Roman" w:hAnsi="Times New Roman" w:cs="Times New Roman" w:eastAsiaTheme="minorEastAsia"/>
          <w:color w:val="auto"/>
          <w:spacing w:val="-2"/>
          <w:sz w:val="24"/>
          <w:szCs w:val="24"/>
          <w:lang w:eastAsia="zh-CN"/>
        </w:rPr>
        <w:t>2021</w:t>
      </w:r>
      <w:r>
        <w:rPr>
          <w:rFonts w:hint="eastAsia" w:ascii="Times New Roman" w:hAnsi="Times New Roman" w:cs="Times New Roman" w:eastAsiaTheme="minorEastAsia"/>
          <w:color w:val="auto"/>
          <w:spacing w:val="-2"/>
          <w:sz w:val="24"/>
          <w:szCs w:val="24"/>
          <w:lang w:eastAsia="zh-CN"/>
        </w:rPr>
        <w:t>〕</w:t>
      </w:r>
      <w:r>
        <w:rPr>
          <w:rFonts w:ascii="Times New Roman" w:hAnsi="Times New Roman" w:cs="Times New Roman" w:eastAsiaTheme="minorEastAsia"/>
          <w:color w:val="auto"/>
          <w:spacing w:val="-24"/>
          <w:sz w:val="24"/>
          <w:szCs w:val="24"/>
          <w:lang w:eastAsia="zh-CN"/>
        </w:rPr>
        <w:t xml:space="preserve"> </w:t>
      </w:r>
      <w:r>
        <w:rPr>
          <w:rFonts w:ascii="Times New Roman" w:hAnsi="Times New Roman" w:cs="Times New Roman" w:eastAsiaTheme="minorEastAsia"/>
          <w:color w:val="auto"/>
          <w:spacing w:val="-2"/>
          <w:sz w:val="24"/>
          <w:szCs w:val="24"/>
          <w:lang w:eastAsia="zh-CN"/>
        </w:rPr>
        <w:t>122  号的要求，做好本次变动与排污许可的衔接工作，及时更</w:t>
      </w:r>
      <w:r>
        <w:rPr>
          <w:rFonts w:ascii="Times New Roman" w:hAnsi="Times New Roman" w:cs="Times New Roman" w:eastAsiaTheme="minorEastAsia"/>
          <w:color w:val="auto"/>
          <w:spacing w:val="-6"/>
          <w:sz w:val="24"/>
          <w:szCs w:val="24"/>
          <w:lang w:eastAsia="zh-CN"/>
        </w:rPr>
        <w:t>新排污许可证。</w:t>
      </w:r>
    </w:p>
    <w:p w14:paraId="28FC8522">
      <w:pPr>
        <w:pStyle w:val="2"/>
        <w:spacing w:before="91" w:line="221" w:lineRule="auto"/>
        <w:rPr>
          <w:rFonts w:hint="eastAsia" w:ascii="仿宋" w:hAnsi="仿宋" w:eastAsia="仿宋"/>
          <w:color w:val="auto"/>
          <w:spacing w:val="-2"/>
          <w:sz w:val="24"/>
          <w:szCs w:val="24"/>
          <w:lang w:eastAsia="zh-CN"/>
        </w:rPr>
      </w:pPr>
    </w:p>
    <w:p w14:paraId="702BDC7B">
      <w:pPr>
        <w:pStyle w:val="2"/>
        <w:spacing w:before="91" w:line="221" w:lineRule="auto"/>
        <w:rPr>
          <w:rFonts w:ascii="仿宋" w:hAnsi="仿宋" w:eastAsia="仿宋"/>
          <w:color w:val="auto"/>
          <w:sz w:val="24"/>
          <w:szCs w:val="24"/>
        </w:rPr>
      </w:pPr>
      <w:r>
        <w:rPr>
          <w:rFonts w:ascii="仿宋" w:hAnsi="仿宋" w:eastAsia="仿宋"/>
          <w:color w:val="auto"/>
          <w:spacing w:val="-2"/>
          <w:sz w:val="24"/>
          <w:szCs w:val="24"/>
        </w:rPr>
        <w:t>专家</w:t>
      </w:r>
      <w:r>
        <w:rPr>
          <w:rFonts w:hint="eastAsia" w:ascii="仿宋" w:hAnsi="仿宋" w:eastAsia="仿宋"/>
          <w:color w:val="auto"/>
          <w:spacing w:val="-2"/>
          <w:sz w:val="24"/>
          <w:szCs w:val="24"/>
          <w:lang w:eastAsia="zh-CN"/>
        </w:rPr>
        <w:t>信息及</w:t>
      </w:r>
      <w:r>
        <w:rPr>
          <w:rFonts w:ascii="仿宋" w:hAnsi="仿宋" w:eastAsia="仿宋"/>
          <w:color w:val="auto"/>
          <w:spacing w:val="-2"/>
          <w:sz w:val="24"/>
          <w:szCs w:val="24"/>
        </w:rPr>
        <w:t>签名：</w:t>
      </w:r>
    </w:p>
    <w:p w14:paraId="415BC8FA">
      <w:pPr>
        <w:spacing w:line="24" w:lineRule="auto"/>
        <w:rPr>
          <w:color w:val="auto"/>
          <w:sz w:val="2"/>
        </w:rPr>
      </w:pPr>
    </w:p>
    <w:tbl>
      <w:tblPr>
        <w:tblStyle w:val="6"/>
        <w:tblW w:w="907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7"/>
        <w:gridCol w:w="2338"/>
        <w:gridCol w:w="1559"/>
        <w:gridCol w:w="2268"/>
        <w:gridCol w:w="1701"/>
      </w:tblGrid>
      <w:tr w14:paraId="5F858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 w:hRule="atLeast"/>
        </w:trPr>
        <w:tc>
          <w:tcPr>
            <w:tcW w:w="1207" w:type="dxa"/>
            <w:vAlign w:val="center"/>
          </w:tcPr>
          <w:p w14:paraId="5D270E62">
            <w:pPr>
              <w:pStyle w:val="7"/>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pacing w:val="-3"/>
                <w:sz w:val="24"/>
                <w:szCs w:val="24"/>
                <w:lang w:eastAsia="zh-CN"/>
              </w:rPr>
              <w:t>专家</w:t>
            </w:r>
            <w:r>
              <w:rPr>
                <w:rFonts w:ascii="Times New Roman" w:hAnsi="Times New Roman" w:eastAsia="仿宋" w:cs="Times New Roman"/>
                <w:color w:val="auto"/>
                <w:spacing w:val="-3"/>
                <w:sz w:val="24"/>
                <w:szCs w:val="24"/>
              </w:rPr>
              <w:t>姓名</w:t>
            </w:r>
          </w:p>
        </w:tc>
        <w:tc>
          <w:tcPr>
            <w:tcW w:w="2338" w:type="dxa"/>
            <w:vAlign w:val="center"/>
          </w:tcPr>
          <w:p w14:paraId="30660C26">
            <w:pPr>
              <w:pStyle w:val="7"/>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pacing w:val="-3"/>
                <w:sz w:val="24"/>
                <w:szCs w:val="24"/>
                <w:lang w:eastAsia="zh-CN"/>
              </w:rPr>
              <w:t>所在</w:t>
            </w:r>
            <w:r>
              <w:rPr>
                <w:rFonts w:ascii="Times New Roman" w:hAnsi="Times New Roman" w:eastAsia="仿宋" w:cs="Times New Roman"/>
                <w:color w:val="auto"/>
                <w:spacing w:val="-3"/>
                <w:sz w:val="24"/>
                <w:szCs w:val="24"/>
              </w:rPr>
              <w:t>单位</w:t>
            </w:r>
          </w:p>
        </w:tc>
        <w:tc>
          <w:tcPr>
            <w:tcW w:w="1559" w:type="dxa"/>
            <w:vAlign w:val="center"/>
          </w:tcPr>
          <w:p w14:paraId="3EC74B33">
            <w:pPr>
              <w:pStyle w:val="7"/>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2"/>
                <w:sz w:val="24"/>
                <w:szCs w:val="24"/>
              </w:rPr>
              <w:t>职称/职务</w:t>
            </w:r>
          </w:p>
        </w:tc>
        <w:tc>
          <w:tcPr>
            <w:tcW w:w="2268" w:type="dxa"/>
            <w:vAlign w:val="center"/>
          </w:tcPr>
          <w:p w14:paraId="2CDA7FEC">
            <w:pPr>
              <w:pStyle w:val="7"/>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2"/>
                <w:sz w:val="24"/>
                <w:szCs w:val="24"/>
              </w:rPr>
              <w:t>联系</w:t>
            </w:r>
            <w:r>
              <w:rPr>
                <w:rFonts w:hint="eastAsia" w:ascii="Times New Roman" w:hAnsi="Times New Roman" w:eastAsia="仿宋" w:cs="Times New Roman"/>
                <w:color w:val="auto"/>
                <w:spacing w:val="-2"/>
                <w:sz w:val="24"/>
                <w:szCs w:val="24"/>
                <w:lang w:eastAsia="zh-CN"/>
              </w:rPr>
              <w:t>电话</w:t>
            </w:r>
          </w:p>
        </w:tc>
        <w:tc>
          <w:tcPr>
            <w:tcW w:w="1701" w:type="dxa"/>
            <w:vAlign w:val="center"/>
          </w:tcPr>
          <w:p w14:paraId="4C2F253F">
            <w:pPr>
              <w:pStyle w:val="7"/>
              <w:jc w:val="center"/>
              <w:rPr>
                <w:rFonts w:ascii="Times New Roman" w:hAnsi="Times New Roman" w:eastAsia="仿宋" w:cs="Times New Roman"/>
                <w:color w:val="auto"/>
                <w:sz w:val="24"/>
                <w:szCs w:val="24"/>
              </w:rPr>
            </w:pPr>
            <w:r>
              <w:rPr>
                <w:rFonts w:hint="eastAsia" w:ascii="Times New Roman" w:hAnsi="Times New Roman" w:eastAsia="仿宋" w:cs="Times New Roman"/>
                <w:color w:val="auto"/>
                <w:spacing w:val="-3"/>
                <w:sz w:val="24"/>
                <w:szCs w:val="24"/>
                <w:lang w:eastAsia="zh-CN"/>
              </w:rPr>
              <w:t>本人</w:t>
            </w:r>
            <w:r>
              <w:rPr>
                <w:rFonts w:ascii="Times New Roman" w:hAnsi="Times New Roman" w:eastAsia="仿宋" w:cs="Times New Roman"/>
                <w:color w:val="auto"/>
                <w:spacing w:val="-3"/>
                <w:sz w:val="24"/>
                <w:szCs w:val="24"/>
              </w:rPr>
              <w:t>签名</w:t>
            </w:r>
          </w:p>
        </w:tc>
      </w:tr>
      <w:tr w14:paraId="0EF6B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 w:hRule="atLeast"/>
        </w:trPr>
        <w:tc>
          <w:tcPr>
            <w:tcW w:w="1207" w:type="dxa"/>
            <w:vAlign w:val="center"/>
          </w:tcPr>
          <w:p w14:paraId="7748D9A1">
            <w:pPr>
              <w:pStyle w:val="7"/>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3"/>
                <w:sz w:val="24"/>
                <w:szCs w:val="24"/>
              </w:rPr>
              <w:t>路学军</w:t>
            </w:r>
          </w:p>
        </w:tc>
        <w:tc>
          <w:tcPr>
            <w:tcW w:w="2338" w:type="dxa"/>
            <w:vAlign w:val="center"/>
          </w:tcPr>
          <w:p w14:paraId="79FA9C9B">
            <w:pPr>
              <w:pStyle w:val="7"/>
              <w:jc w:val="center"/>
              <w:rPr>
                <w:rFonts w:ascii="Times New Roman" w:hAnsi="Times New Roman" w:eastAsia="仿宋" w:cs="Times New Roman"/>
                <w:color w:val="auto"/>
                <w:sz w:val="24"/>
                <w:szCs w:val="24"/>
                <w:lang w:eastAsia="zh-CN"/>
              </w:rPr>
            </w:pPr>
            <w:r>
              <w:rPr>
                <w:rFonts w:ascii="Times New Roman" w:hAnsi="Times New Roman" w:eastAsia="仿宋" w:cs="Times New Roman"/>
                <w:color w:val="auto"/>
                <w:spacing w:val="-1"/>
                <w:sz w:val="24"/>
                <w:szCs w:val="24"/>
                <w:lang w:eastAsia="zh-CN"/>
              </w:rPr>
              <w:t>连云港环境监测中</w:t>
            </w:r>
            <w:r>
              <w:rPr>
                <w:rFonts w:ascii="Times New Roman" w:hAnsi="Times New Roman" w:eastAsia="仿宋" w:cs="Times New Roman"/>
                <w:color w:val="auto"/>
                <w:spacing w:val="-3"/>
                <w:sz w:val="24"/>
                <w:szCs w:val="24"/>
                <w:lang w:eastAsia="zh-CN"/>
              </w:rPr>
              <w:t>心（原市环科所）</w:t>
            </w:r>
          </w:p>
        </w:tc>
        <w:tc>
          <w:tcPr>
            <w:tcW w:w="1559" w:type="dxa"/>
            <w:vAlign w:val="center"/>
          </w:tcPr>
          <w:p w14:paraId="0C9DC11E">
            <w:pPr>
              <w:pStyle w:val="7"/>
              <w:ind w:hanging="175"/>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4"/>
                <w:sz w:val="24"/>
                <w:szCs w:val="24"/>
              </w:rPr>
              <w:t>高工</w:t>
            </w:r>
          </w:p>
        </w:tc>
        <w:tc>
          <w:tcPr>
            <w:tcW w:w="2268" w:type="dxa"/>
            <w:vAlign w:val="center"/>
          </w:tcPr>
          <w:p w14:paraId="4C4B8069">
            <w:pPr>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3"/>
                <w:sz w:val="24"/>
                <w:szCs w:val="24"/>
              </w:rPr>
              <w:t>13951495532</w:t>
            </w:r>
          </w:p>
        </w:tc>
        <w:tc>
          <w:tcPr>
            <w:tcW w:w="1701" w:type="dxa"/>
            <w:vAlign w:val="center"/>
          </w:tcPr>
          <w:p w14:paraId="0CFBB044">
            <w:pPr>
              <w:ind w:firstLine="290"/>
              <w:jc w:val="center"/>
              <w:rPr>
                <w:rFonts w:hint="eastAsia"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drawing>
                <wp:inline distT="0" distB="0" distL="114300" distR="114300">
                  <wp:extent cx="837565" cy="396875"/>
                  <wp:effectExtent l="0" t="0" r="635" b="3175"/>
                  <wp:docPr id="2" name="图片 2" descr="5de379abb11c08baabacd74ca59c11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de379abb11c08baabacd74ca59c11fb"/>
                          <pic:cNvPicPr>
                            <a:picLocks noChangeAspect="1"/>
                          </pic:cNvPicPr>
                        </pic:nvPicPr>
                        <pic:blipFill>
                          <a:blip r:embed="rId4"/>
                          <a:stretch>
                            <a:fillRect/>
                          </a:stretch>
                        </pic:blipFill>
                        <pic:spPr>
                          <a:xfrm>
                            <a:off x="0" y="0"/>
                            <a:ext cx="837565" cy="396875"/>
                          </a:xfrm>
                          <a:prstGeom prst="rect">
                            <a:avLst/>
                          </a:prstGeom>
                        </pic:spPr>
                      </pic:pic>
                    </a:graphicData>
                  </a:graphic>
                </wp:inline>
              </w:drawing>
            </w:r>
          </w:p>
        </w:tc>
      </w:tr>
      <w:tr w14:paraId="58DAC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 w:hRule="atLeast"/>
        </w:trPr>
        <w:tc>
          <w:tcPr>
            <w:tcW w:w="1207" w:type="dxa"/>
            <w:vAlign w:val="center"/>
          </w:tcPr>
          <w:p w14:paraId="0AC98B5B">
            <w:pPr>
              <w:pStyle w:val="7"/>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3"/>
                <w:sz w:val="24"/>
                <w:szCs w:val="24"/>
              </w:rPr>
              <w:t>柳然</w:t>
            </w:r>
          </w:p>
        </w:tc>
        <w:tc>
          <w:tcPr>
            <w:tcW w:w="2338" w:type="dxa"/>
            <w:vAlign w:val="center"/>
          </w:tcPr>
          <w:p w14:paraId="125EBE4F">
            <w:pPr>
              <w:pStyle w:val="7"/>
              <w:jc w:val="center"/>
              <w:rPr>
                <w:rFonts w:ascii="Times New Roman" w:hAnsi="Times New Roman" w:eastAsia="仿宋" w:cs="Times New Roman"/>
                <w:color w:val="auto"/>
                <w:sz w:val="24"/>
                <w:szCs w:val="24"/>
                <w:lang w:eastAsia="zh-CN"/>
              </w:rPr>
            </w:pPr>
            <w:r>
              <w:rPr>
                <w:rFonts w:ascii="Times New Roman" w:hAnsi="Times New Roman" w:eastAsia="仿宋" w:cs="Times New Roman"/>
                <w:color w:val="auto"/>
                <w:spacing w:val="-1"/>
                <w:sz w:val="24"/>
                <w:szCs w:val="24"/>
                <w:lang w:eastAsia="zh-CN"/>
              </w:rPr>
              <w:t>江苏智盛环境科技有限公</w:t>
            </w:r>
            <w:r>
              <w:rPr>
                <w:rFonts w:ascii="Times New Roman" w:hAnsi="Times New Roman" w:eastAsia="仿宋" w:cs="Times New Roman"/>
                <w:color w:val="auto"/>
                <w:sz w:val="24"/>
                <w:szCs w:val="24"/>
                <w:lang w:eastAsia="zh-CN"/>
              </w:rPr>
              <w:t>司</w:t>
            </w:r>
          </w:p>
        </w:tc>
        <w:tc>
          <w:tcPr>
            <w:tcW w:w="1559" w:type="dxa"/>
            <w:vAlign w:val="center"/>
          </w:tcPr>
          <w:p w14:paraId="32EB6994">
            <w:pPr>
              <w:pStyle w:val="7"/>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4"/>
                <w:sz w:val="24"/>
                <w:szCs w:val="24"/>
              </w:rPr>
              <w:t>高工</w:t>
            </w:r>
          </w:p>
        </w:tc>
        <w:tc>
          <w:tcPr>
            <w:tcW w:w="2268" w:type="dxa"/>
            <w:vAlign w:val="center"/>
          </w:tcPr>
          <w:p w14:paraId="227CB272">
            <w:pPr>
              <w:jc w:val="center"/>
              <w:rPr>
                <w:rFonts w:ascii="Times New Roman" w:hAnsi="Times New Roman" w:eastAsia="仿宋" w:cs="Times New Roman"/>
                <w:color w:val="auto"/>
                <w:sz w:val="24"/>
                <w:szCs w:val="24"/>
              </w:rPr>
            </w:pPr>
            <w:r>
              <w:rPr>
                <w:rFonts w:ascii="Times New Roman" w:hAnsi="Times New Roman" w:eastAsia="仿宋" w:cs="Times New Roman"/>
                <w:color w:val="auto"/>
                <w:spacing w:val="-3"/>
                <w:sz w:val="24"/>
                <w:szCs w:val="24"/>
              </w:rPr>
              <w:t>18961337655</w:t>
            </w:r>
          </w:p>
        </w:tc>
        <w:tc>
          <w:tcPr>
            <w:tcW w:w="1701" w:type="dxa"/>
            <w:vAlign w:val="center"/>
          </w:tcPr>
          <w:p w14:paraId="16097283">
            <w:pPr>
              <w:ind w:firstLine="108"/>
              <w:jc w:val="center"/>
              <w:rPr>
                <w:rFonts w:hint="eastAsia" w:ascii="Times New Roman" w:hAnsi="Times New Roman" w:eastAsia="仿宋" w:cs="Times New Roman"/>
                <w:color w:val="auto"/>
                <w:sz w:val="24"/>
                <w:szCs w:val="24"/>
                <w:lang w:eastAsia="zh-CN"/>
              </w:rPr>
            </w:pPr>
            <w:r>
              <w:rPr>
                <w:rFonts w:hint="eastAsia" w:ascii="Times New Roman" w:hAnsi="Times New Roman" w:eastAsia="仿宋" w:cs="Times New Roman"/>
                <w:color w:val="auto"/>
                <w:sz w:val="24"/>
                <w:szCs w:val="24"/>
                <w:lang w:eastAsia="zh-CN"/>
              </w:rPr>
              <w:drawing>
                <wp:anchor distT="0" distB="0" distL="114300" distR="114300" simplePos="0" relativeHeight="251659264" behindDoc="0" locked="0" layoutInCell="1" allowOverlap="1">
                  <wp:simplePos x="0" y="0"/>
                  <wp:positionH relativeFrom="column">
                    <wp:posOffset>116205</wp:posOffset>
                  </wp:positionH>
                  <wp:positionV relativeFrom="paragraph">
                    <wp:posOffset>6350</wp:posOffset>
                  </wp:positionV>
                  <wp:extent cx="896620" cy="372110"/>
                  <wp:effectExtent l="0" t="0" r="17780" b="8890"/>
                  <wp:wrapNone/>
                  <wp:docPr id="1" name="图片 1" descr="23e0798fbe4f94f57b2d751b7f0df5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3e0798fbe4f94f57b2d751b7f0df54e"/>
                          <pic:cNvPicPr>
                            <a:picLocks noChangeAspect="1"/>
                          </pic:cNvPicPr>
                        </pic:nvPicPr>
                        <pic:blipFill>
                          <a:blip r:embed="rId5"/>
                          <a:stretch>
                            <a:fillRect/>
                          </a:stretch>
                        </pic:blipFill>
                        <pic:spPr>
                          <a:xfrm>
                            <a:off x="0" y="0"/>
                            <a:ext cx="896620" cy="372110"/>
                          </a:xfrm>
                          <a:prstGeom prst="rect">
                            <a:avLst/>
                          </a:prstGeom>
                        </pic:spPr>
                      </pic:pic>
                    </a:graphicData>
                  </a:graphic>
                </wp:anchor>
              </w:drawing>
            </w:r>
          </w:p>
        </w:tc>
      </w:tr>
    </w:tbl>
    <w:p w14:paraId="42711B14">
      <w:pPr>
        <w:pStyle w:val="2"/>
        <w:spacing w:before="91" w:line="234" w:lineRule="auto"/>
        <w:ind w:left="6546" w:leftChars="3117" w:firstLine="904" w:firstLineChars="400"/>
        <w:rPr>
          <w:rFonts w:ascii="Times New Roman" w:hAnsi="Times New Roman" w:eastAsia="仿宋" w:cs="Times New Roman"/>
          <w:color w:val="auto"/>
          <w:sz w:val="24"/>
          <w:szCs w:val="24"/>
        </w:rPr>
      </w:pPr>
      <w:r>
        <w:rPr>
          <w:rFonts w:ascii="Times New Roman" w:hAnsi="Times New Roman" w:eastAsia="仿宋" w:cs="Times New Roman"/>
          <w:color w:val="auto"/>
          <w:spacing w:val="-7"/>
          <w:sz w:val="24"/>
          <w:szCs w:val="24"/>
        </w:rPr>
        <w:t>202</w:t>
      </w:r>
      <w:r>
        <w:rPr>
          <w:rFonts w:ascii="Times New Roman" w:hAnsi="Times New Roman" w:eastAsia="仿宋" w:cs="Times New Roman"/>
          <w:color w:val="auto"/>
          <w:spacing w:val="-7"/>
          <w:sz w:val="24"/>
          <w:szCs w:val="24"/>
          <w:lang w:eastAsia="zh-CN"/>
        </w:rPr>
        <w:t>6</w:t>
      </w:r>
      <w:r>
        <w:rPr>
          <w:rFonts w:ascii="Times New Roman" w:hAnsi="Times New Roman" w:eastAsia="仿宋" w:cs="Times New Roman"/>
          <w:color w:val="auto"/>
          <w:spacing w:val="-7"/>
          <w:sz w:val="24"/>
          <w:szCs w:val="24"/>
        </w:rPr>
        <w:t>年</w:t>
      </w:r>
      <w:r>
        <w:rPr>
          <w:rFonts w:ascii="Times New Roman" w:hAnsi="Times New Roman" w:eastAsia="仿宋" w:cs="Times New Roman"/>
          <w:color w:val="auto"/>
          <w:spacing w:val="-35"/>
          <w:sz w:val="24"/>
          <w:szCs w:val="24"/>
        </w:rPr>
        <w:t xml:space="preserve"> </w:t>
      </w:r>
      <w:r>
        <w:rPr>
          <w:rFonts w:ascii="Times New Roman" w:hAnsi="Times New Roman" w:eastAsia="仿宋" w:cs="Times New Roman"/>
          <w:color w:val="auto"/>
          <w:spacing w:val="-7"/>
          <w:sz w:val="24"/>
          <w:szCs w:val="24"/>
          <w:lang w:eastAsia="zh-CN"/>
        </w:rPr>
        <w:t>6</w:t>
      </w:r>
      <w:r>
        <w:rPr>
          <w:rFonts w:ascii="Times New Roman" w:hAnsi="Times New Roman" w:eastAsia="仿宋" w:cs="Times New Roman"/>
          <w:color w:val="auto"/>
          <w:spacing w:val="-7"/>
          <w:sz w:val="24"/>
          <w:szCs w:val="24"/>
        </w:rPr>
        <w:t>月</w:t>
      </w:r>
      <w:r>
        <w:rPr>
          <w:rFonts w:ascii="Times New Roman" w:hAnsi="Times New Roman" w:eastAsia="仿宋" w:cs="Times New Roman"/>
          <w:color w:val="auto"/>
          <w:spacing w:val="-40"/>
          <w:sz w:val="24"/>
          <w:szCs w:val="24"/>
        </w:rPr>
        <w:t xml:space="preserve"> </w:t>
      </w:r>
      <w:r>
        <w:rPr>
          <w:rFonts w:ascii="Times New Roman" w:hAnsi="Times New Roman" w:eastAsia="仿宋" w:cs="Times New Roman"/>
          <w:color w:val="auto"/>
          <w:spacing w:val="-7"/>
          <w:sz w:val="24"/>
          <w:szCs w:val="24"/>
          <w:lang w:eastAsia="zh-CN"/>
        </w:rPr>
        <w:t>4</w:t>
      </w:r>
      <w:r>
        <w:rPr>
          <w:rFonts w:ascii="Times New Roman" w:hAnsi="Times New Roman" w:eastAsia="仿宋" w:cs="Times New Roman"/>
          <w:color w:val="auto"/>
          <w:spacing w:val="-7"/>
          <w:sz w:val="24"/>
          <w:szCs w:val="24"/>
        </w:rPr>
        <w:t>日</w:t>
      </w:r>
    </w:p>
    <w:sectPr>
      <w:pgSz w:w="11907" w:h="16839"/>
      <w:pgMar w:top="1644" w:right="1418" w:bottom="1418" w:left="141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7FFAEFF" w:usb1="F9DFFFFF" w:usb2="0000007F" w:usb3="00000000" w:csb0="203F01FF" w:csb1="D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4"/>
  </w:compat>
  <w:rsids>
    <w:rsidRoot w:val="00986754"/>
    <w:rsid w:val="00283978"/>
    <w:rsid w:val="00294880"/>
    <w:rsid w:val="00573624"/>
    <w:rsid w:val="006C7E60"/>
    <w:rsid w:val="008C7107"/>
    <w:rsid w:val="00986754"/>
    <w:rsid w:val="00BC5D3D"/>
    <w:rsid w:val="0C7A5B28"/>
    <w:rsid w:val="33547631"/>
    <w:rsid w:val="586F1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rPr>
  </w:style>
  <w:style w:type="paragraph" w:styleId="3">
    <w:name w:val="Balloon Text"/>
    <w:basedOn w:val="1"/>
    <w:link w:val="8"/>
    <w:qFormat/>
    <w:uiPriority w:val="0"/>
    <w:rPr>
      <w:sz w:val="18"/>
      <w:szCs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8"/>
      <w:szCs w:val="28"/>
    </w:rPr>
  </w:style>
  <w:style w:type="character" w:customStyle="1" w:styleId="8">
    <w:name w:val="批注框文本 Char"/>
    <w:basedOn w:val="5"/>
    <w:link w:val="3"/>
    <w:qFormat/>
    <w:uiPriority w:val="0"/>
    <w:rPr>
      <w:rFonts w:eastAsia="Arial"/>
      <w:snapToGrid w:val="0"/>
      <w:color w:val="000000"/>
      <w:sz w:val="18"/>
      <w:szCs w:val="18"/>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Pages>
  <Words>826</Words>
  <Characters>866</Characters>
  <Lines>6</Lines>
  <Paragraphs>1</Paragraphs>
  <TotalTime>15</TotalTime>
  <ScaleCrop>false</ScaleCrop>
  <LinksUpToDate>false</LinksUpToDate>
  <CharactersWithSpaces>877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2024-12-20T09:14:00Z</dcterms:created>
  <dc:creator>Admin</dc:creator>
  <cp:lastModifiedBy>拾里桃园</cp:lastModifiedBy>
  <dcterms:modified xsi:type="dcterms:W3CDTF">2026-06-04T08:26:40Z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2026-06-04T08:44:39Z</vt:filetime>
  </property>
  <property fmtid="{D5CDD505-2E9C-101B-9397-08002B2CF9AE}" pid="4" name="KSOTemplateDocerSaveRecord">
    <vt:lpwstr>eyJoZGlkIjoiMWFjY2I2NWE2MjhhMmI0M2Q5MDE4MzAxZGFmMDY4ZGYiLCJ1c2VySWQiOiI0NDg3NDIwMzYifQ==</vt:lpwstr>
  </property>
  <property fmtid="{D5CDD505-2E9C-101B-9397-08002B2CF9AE}" pid="5" name="KSOProductBuildVer">
    <vt:lpwstr>2052-12.1.0.26375</vt:lpwstr>
  </property>
  <property fmtid="{D5CDD505-2E9C-101B-9397-08002B2CF9AE}" pid="6" name="ICV">
    <vt:lpwstr>17AD6865AEFF4750A80D180E742F152B_12</vt:lpwstr>
  </property>
</Properties>
</file>